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1039" w14:textId="77777777" w:rsidR="00213A0A" w:rsidRDefault="00213A0A" w:rsidP="00213A0A">
      <w:pPr>
        <w:spacing w:line="560" w:lineRule="exact"/>
        <w:textAlignment w:val="baseline"/>
        <w:rPr>
          <w:rFonts w:ascii="Times New Roman" w:eastAsia="方正小标宋_GBK" w:hAnsi="Times New Roman" w:cs="Times New Roman" w:hint="eastAsia"/>
          <w:kern w:val="2"/>
          <w:sz w:val="44"/>
          <w:szCs w:val="20"/>
        </w:rPr>
      </w:pPr>
      <w:bookmarkStart w:id="0" w:name="heading_1"/>
      <w:bookmarkStart w:id="1" w:name="OLE_LINK10"/>
    </w:p>
    <w:p w14:paraId="5A4259A2" w14:textId="77777777" w:rsidR="00213A0A" w:rsidRDefault="00213A0A" w:rsidP="00213A0A">
      <w:pPr>
        <w:spacing w:line="560" w:lineRule="exact"/>
        <w:jc w:val="center"/>
        <w:textAlignment w:val="baseline"/>
        <w:rPr>
          <w:rFonts w:ascii="Times New Roman" w:eastAsia="方正小标宋_GBK" w:hAnsi="Times New Roman" w:cs="Times New Roman"/>
          <w:kern w:val="2"/>
          <w:sz w:val="44"/>
          <w:szCs w:val="20"/>
        </w:rPr>
      </w:pPr>
      <w:r>
        <w:rPr>
          <w:rFonts w:ascii="Times New Roman" w:eastAsia="方正小标宋_GBK" w:hAnsi="Times New Roman" w:cs="Times New Roman"/>
          <w:kern w:val="2"/>
          <w:sz w:val="44"/>
          <w:szCs w:val="20"/>
        </w:rPr>
        <w:t>淮安市提升供电质量</w:t>
      </w:r>
      <w:r>
        <w:rPr>
          <w:rFonts w:ascii="Times New Roman" w:eastAsia="方正小标宋_GBK" w:hAnsi="Times New Roman" w:cs="Times New Roman"/>
          <w:kern w:val="2"/>
          <w:sz w:val="44"/>
          <w:szCs w:val="20"/>
        </w:rPr>
        <w:t xml:space="preserve"> </w:t>
      </w:r>
      <w:r>
        <w:rPr>
          <w:rFonts w:ascii="Times New Roman" w:eastAsia="方正小标宋_GBK" w:hAnsi="Times New Roman" w:cs="Times New Roman"/>
          <w:kern w:val="2"/>
          <w:sz w:val="44"/>
          <w:szCs w:val="20"/>
        </w:rPr>
        <w:t>服务高品质用电需求用户工作方案</w:t>
      </w:r>
      <w:bookmarkEnd w:id="0"/>
    </w:p>
    <w:p w14:paraId="3E7590AA" w14:textId="151D1F79" w:rsidR="00213A0A" w:rsidRPr="00213A0A" w:rsidRDefault="00213A0A" w:rsidP="00213A0A">
      <w:pPr>
        <w:pStyle w:val="a0"/>
        <w:ind w:firstLine="640"/>
        <w:jc w:val="center"/>
        <w:rPr>
          <w:rFonts w:ascii="楷体_GB2312" w:eastAsia="楷体_GB2312" w:hint="eastAsia"/>
          <w:sz w:val="32"/>
          <w:szCs w:val="32"/>
        </w:rPr>
      </w:pPr>
      <w:r w:rsidRPr="00213A0A">
        <w:rPr>
          <w:rFonts w:ascii="楷体_GB2312" w:eastAsia="楷体_GB2312" w:hint="eastAsia"/>
          <w:sz w:val="32"/>
          <w:szCs w:val="32"/>
        </w:rPr>
        <w:t>（征求意见稿）</w:t>
      </w:r>
    </w:p>
    <w:p w14:paraId="3F3BAA6A" w14:textId="77777777" w:rsidR="00213A0A" w:rsidRDefault="00213A0A" w:rsidP="00213A0A">
      <w:pPr>
        <w:adjustRightInd w:val="0"/>
        <w:snapToGrid w:val="0"/>
        <w:spacing w:line="560" w:lineRule="exact"/>
        <w:ind w:firstLineChars="200" w:firstLine="640"/>
        <w:outlineLvl w:val="0"/>
        <w:rPr>
          <w:rFonts w:ascii="方正黑体_GBK" w:eastAsia="方正黑体_GBK" w:cs="Times New Roman"/>
          <w:kern w:val="2"/>
          <w:sz w:val="32"/>
          <w:szCs w:val="32"/>
        </w:rPr>
      </w:pPr>
      <w:bookmarkStart w:id="2" w:name="heading_2"/>
      <w:bookmarkEnd w:id="1"/>
      <w:r>
        <w:rPr>
          <w:rFonts w:ascii="方正黑体_GBK" w:eastAsia="方正黑体_GBK" w:cs="Times New Roman" w:hint="eastAsia"/>
          <w:kern w:val="2"/>
          <w:sz w:val="32"/>
          <w:szCs w:val="32"/>
        </w:rPr>
        <w:t>一、总体要求</w:t>
      </w:r>
      <w:bookmarkEnd w:id="2"/>
    </w:p>
    <w:p w14:paraId="6F058A7C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以满足高品质用电需求为导向，坚持科学规划、预防为主、标准引领、协同共治原则，聚焦我市芯片制造、生物医药、新能源汽车、精密电子器件、高端纺织等对用电品质要求较高的行业，依托电网企业供电保障能力与各类市场主体服务优势，构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政府部门、电网企业、电力用户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三方协同治理体系。通过完善政企高效协同机制、提升电网供电能力、健全市场化服务体系，有效降低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电压暂降影响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，形成权责明晰、协同高效、服务精准的治理格局，打造区域领先的优质供电品牌，助力淮安招商引资提质增效。</w:t>
      </w:r>
    </w:p>
    <w:p w14:paraId="429E990E" w14:textId="77777777" w:rsidR="00213A0A" w:rsidRDefault="00213A0A" w:rsidP="00213A0A">
      <w:pPr>
        <w:adjustRightInd w:val="0"/>
        <w:snapToGrid w:val="0"/>
        <w:spacing w:line="560" w:lineRule="exact"/>
        <w:ind w:firstLineChars="200" w:firstLine="640"/>
        <w:outlineLvl w:val="0"/>
        <w:rPr>
          <w:rFonts w:ascii="方正黑体_GBK" w:eastAsia="方正黑体_GBK" w:cs="Times New Roman"/>
          <w:kern w:val="2"/>
          <w:sz w:val="32"/>
          <w:szCs w:val="32"/>
        </w:rPr>
      </w:pPr>
      <w:bookmarkStart w:id="3" w:name="heading_8"/>
      <w:r>
        <w:rPr>
          <w:rFonts w:ascii="方正黑体_GBK" w:eastAsia="方正黑体_GBK" w:cs="Times New Roman" w:hint="eastAsia"/>
          <w:kern w:val="2"/>
          <w:sz w:val="32"/>
          <w:szCs w:val="32"/>
        </w:rPr>
        <w:t>二、职责分工</w:t>
      </w:r>
      <w:bookmarkEnd w:id="3"/>
    </w:p>
    <w:p w14:paraId="5962780A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4" w:name="heading_9"/>
      <w:r>
        <w:rPr>
          <w:rFonts w:ascii="Times New Roman" w:eastAsia="方正仿宋_GBK" w:hAnsi="Times New Roman" w:cs="Times New Roman"/>
          <w:sz w:val="32"/>
          <w:szCs w:val="32"/>
        </w:rPr>
        <w:t>遵循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谁主管、谁负责，谁干扰、谁治理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原则，建立多方协同管理体系，各方职责如下：</w:t>
      </w:r>
    </w:p>
    <w:p w14:paraId="31A3FC30" w14:textId="77777777" w:rsidR="00213A0A" w:rsidRDefault="00213A0A" w:rsidP="00213A0A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政府主管部门</w:t>
      </w:r>
      <w:bookmarkEnd w:id="4"/>
    </w:p>
    <w:p w14:paraId="7B0E8E22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全面统筹协同治理工作，强化行业监督管理；统筹协调电能质量各类诉求，推动各责任主体履职到位。</w:t>
      </w:r>
    </w:p>
    <w:p w14:paraId="786FA03D" w14:textId="77777777" w:rsidR="00213A0A" w:rsidRDefault="00213A0A" w:rsidP="00213A0A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bookmarkStart w:id="5" w:name="heading_10"/>
      <w:r>
        <w:rPr>
          <w:rFonts w:ascii="Times New Roman" w:eastAsia="方正仿宋_GBK" w:hAnsi="Times New Roman" w:cs="Times New Roman"/>
          <w:kern w:val="2"/>
          <w:sz w:val="32"/>
          <w:szCs w:val="32"/>
        </w:rPr>
        <w:t>供电公司</w:t>
      </w:r>
      <w:bookmarkEnd w:id="5"/>
    </w:p>
    <w:p w14:paraId="6D6347F5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严格落实国家电能质量管理规定，健全内部管理制度，规范工作流程，常态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化开展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电能质量监测、采集与分析；政企协同摸排高品质用电需求用户，建立动态专属档案；优化网架结构，提升装备水平，强化供电质量源头保障；提高服务支撑能力，提供监测、诊断、治理、培训一体化技术服务，指导用户科学配置电能质量控制设备。</w:t>
      </w:r>
    </w:p>
    <w:p w14:paraId="14CC6F54" w14:textId="77777777" w:rsidR="00213A0A" w:rsidRDefault="00213A0A" w:rsidP="00213A0A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bookmarkStart w:id="6" w:name="heading_11"/>
      <w:r>
        <w:rPr>
          <w:rFonts w:ascii="Times New Roman" w:eastAsia="方正仿宋_GBK" w:hAnsi="Times New Roman" w:cs="Times New Roman"/>
          <w:kern w:val="2"/>
          <w:sz w:val="32"/>
          <w:szCs w:val="32"/>
        </w:rPr>
        <w:t>电力用户</w:t>
      </w:r>
      <w:bookmarkEnd w:id="6"/>
    </w:p>
    <w:p w14:paraId="01D79D98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切实履行用电安全主体责任，完善内部管理制度与应急处置预案，常态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化开展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电能质量日常监测、自查评估及隐患排查整治；积极配合相关部门开展监测、检查与整治工作；干扰源用户应主动落实防控治理措施，配合问题核查分析，提供相关数据资料。</w:t>
      </w:r>
    </w:p>
    <w:p w14:paraId="47C58CE9" w14:textId="77777777" w:rsidR="00213A0A" w:rsidRDefault="00213A0A" w:rsidP="00213A0A">
      <w:pPr>
        <w:adjustRightInd w:val="0"/>
        <w:snapToGrid w:val="0"/>
        <w:spacing w:line="560" w:lineRule="exact"/>
        <w:ind w:firstLineChars="200" w:firstLine="640"/>
        <w:outlineLvl w:val="0"/>
        <w:rPr>
          <w:rFonts w:ascii="方正黑体_GBK" w:eastAsia="方正黑体_GBK" w:cs="Times New Roman"/>
          <w:kern w:val="2"/>
          <w:sz w:val="32"/>
          <w:szCs w:val="32"/>
        </w:rPr>
      </w:pPr>
      <w:bookmarkStart w:id="7" w:name="heading_12"/>
      <w:r>
        <w:rPr>
          <w:rFonts w:ascii="方正黑体_GBK" w:eastAsia="方正黑体_GBK" w:cs="Times New Roman" w:hint="eastAsia"/>
          <w:kern w:val="2"/>
          <w:sz w:val="32"/>
          <w:szCs w:val="32"/>
        </w:rPr>
        <w:t>三、重点任务</w:t>
      </w:r>
      <w:bookmarkEnd w:id="7"/>
    </w:p>
    <w:p w14:paraId="00BBA56F" w14:textId="77777777" w:rsidR="00213A0A" w:rsidRDefault="00213A0A" w:rsidP="00213A0A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bookmarkStart w:id="8" w:name="heading_13"/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（一）</w:t>
      </w:r>
      <w:bookmarkEnd w:id="8"/>
      <w:r>
        <w:rPr>
          <w:rFonts w:ascii="Times New Roman" w:eastAsia="方正仿宋_GBK" w:hAnsi="Times New Roman" w:cs="Times New Roman"/>
          <w:kern w:val="2"/>
          <w:sz w:val="32"/>
          <w:szCs w:val="32"/>
        </w:rPr>
        <w:t>优化协同流程，精细用户管理</w:t>
      </w:r>
    </w:p>
    <w:p w14:paraId="39C65530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完善三方协同管理流程。</w:t>
      </w:r>
      <w:r>
        <w:rPr>
          <w:rFonts w:ascii="Times New Roman" w:eastAsia="方正仿宋_GBK" w:hAnsi="Times New Roman" w:cs="Times New Roman"/>
          <w:sz w:val="32"/>
          <w:szCs w:val="32"/>
        </w:rPr>
        <w:t>围绕高品质用电需求用户治理，健全电能质量管理流程，厘清政府、供电企业、电力用户职责边界，理顺多方协同运转机制，建立健全电能质量问题溯源核查、整改督办、成效评价闭环管理体系。</w:t>
      </w:r>
    </w:p>
    <w:p w14:paraId="08BEDF52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bookmarkStart w:id="9" w:name="heading_14"/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实行用户清单动态管控。</w:t>
      </w:r>
      <w:r>
        <w:rPr>
          <w:rFonts w:ascii="Times New Roman" w:eastAsia="方正仿宋_GBK" w:hAnsi="Times New Roman" w:cs="Times New Roman"/>
          <w:sz w:val="32"/>
          <w:szCs w:val="32"/>
        </w:rPr>
        <w:t>全面摸排有高品质用电需求的企业底数，坚持精准排查、动态管控原则，逐一梳理企业用电及电网接入相关情况，建立健全企业供用电档案；全面掌握企业生产设备用电特性、电压耐受能力等关键数据，逐步搭建用电抗干扰等级划分、电压质量敏感用户分类评估体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系。</w:t>
      </w:r>
    </w:p>
    <w:p w14:paraId="1D89F34E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加强用户分级分类管理。</w:t>
      </w:r>
      <w:r>
        <w:rPr>
          <w:rFonts w:ascii="Times New Roman" w:eastAsia="方正仿宋_GBK" w:hAnsi="Times New Roman" w:cs="Times New Roman"/>
          <w:sz w:val="32"/>
          <w:szCs w:val="32"/>
        </w:rPr>
        <w:t>依托用户用电类型、实际用电需求等基础信息，建立分级分类管控机制，推行清单化管理，逐一压实管理责任；结合企业实际制定差异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化治理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举措，建立覆盖重点行业、重点区域的样本数据库，为电能质量精准治理提供支撑。</w:t>
      </w:r>
    </w:p>
    <w:p w14:paraId="5047B8BF" w14:textId="77777777" w:rsidR="00213A0A" w:rsidRDefault="00213A0A" w:rsidP="00213A0A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（二）优化电网规划</w:t>
      </w:r>
      <w:bookmarkEnd w:id="9"/>
      <w:r>
        <w:rPr>
          <w:rFonts w:ascii="Times New Roman" w:eastAsia="方正仿宋_GBK" w:hAnsi="Times New Roman" w:cs="Times New Roman"/>
          <w:kern w:val="2"/>
          <w:sz w:val="32"/>
          <w:szCs w:val="32"/>
        </w:rPr>
        <w:t>，强化设备运维</w:t>
      </w:r>
    </w:p>
    <w:p w14:paraId="6A87672D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优化电网规划建设布局。</w:t>
      </w:r>
      <w:r>
        <w:rPr>
          <w:rFonts w:ascii="Times New Roman" w:eastAsia="方正仿宋_GBK" w:hAnsi="Times New Roman" w:cs="Times New Roman"/>
          <w:sz w:val="32"/>
          <w:szCs w:val="32"/>
        </w:rPr>
        <w:t>紧扣淮安市高品质用电需求用户用电布局，将供电质量提升纳入产业园及重点项目全周期管理。加大敏感企业集聚区、重点园区电网建设投入，完善芯片制造、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算力中心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等高端产业专属供电网架，提升供电稳定性与应急转供能力；有序推进核心供电线路升级改造，科学统筹供电网络布局，减少用电问题大范围扩散，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打造网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架合理、供电稳定、电能质量优良的电网。</w:t>
      </w:r>
    </w:p>
    <w:p w14:paraId="678E29D9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强化电网设备运维管控。</w:t>
      </w:r>
      <w:r>
        <w:rPr>
          <w:rFonts w:ascii="Times New Roman" w:eastAsia="方正仿宋_GBK" w:hAnsi="Times New Roman" w:cs="Times New Roman"/>
          <w:sz w:val="32"/>
          <w:szCs w:val="32"/>
        </w:rPr>
        <w:t>推行差异化、精准化运维模式，依托无人机巡视、在线监测、红外测温等技术手段，常态化排查整治设备隐患。从严落实线路通道树障清理、外力破坏防控、鸟害治理等工作，从源头压降故障诱发电能质量扰动风险。梳理检修涉及重要企业清单，落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差异化运维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措施，确保设备安全可靠运行。</w:t>
      </w:r>
    </w:p>
    <w:p w14:paraId="53E85760" w14:textId="77777777" w:rsidR="00213A0A" w:rsidRDefault="00213A0A" w:rsidP="00213A0A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bookmarkStart w:id="10" w:name="heading_16"/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（三）压实主体责任，引导用户自治</w:t>
      </w:r>
    </w:p>
    <w:p w14:paraId="136CED26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压实用户主体管控责任。</w:t>
      </w:r>
      <w:r>
        <w:rPr>
          <w:rFonts w:ascii="Times New Roman" w:eastAsia="方正仿宋_GBK" w:hAnsi="Times New Roman" w:cs="Times New Roman"/>
          <w:sz w:val="32"/>
          <w:szCs w:val="32"/>
        </w:rPr>
        <w:t>各电力用户需切实履行用电安全与电能质量治理主体责任，健全内部用电管理制度，建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立常态化自查自纠工作机制，形成安全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隐患台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账，明确整改举措与完成时限，实现隐患排查整治闭环管理。对存在产生谐波、冲击性负荷用电等问题的用户，须主动排查整治用电隐患，从源头消除各类用电干扰因素；供电企业应做好延伸服务，常态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化指导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用户落实整改。</w:t>
      </w:r>
    </w:p>
    <w:p w14:paraId="54D2742A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7.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加强宣传普及引导。</w:t>
      </w:r>
      <w:r>
        <w:rPr>
          <w:rFonts w:ascii="Times New Roman" w:eastAsia="方正仿宋_GBK" w:hAnsi="Times New Roman" w:cs="Times New Roman"/>
          <w:sz w:val="32"/>
          <w:szCs w:val="32"/>
        </w:rPr>
        <w:t>各级电力主管部门要搭建多方交流平台，畅通多方沟通渠道；各级供电公司要分区域、分行业开展电能质量专项宣讲，编制通俗易懂的科普宣传材料，常态化组织开展供电质量知识科普活动，同步搭建典型问题案例资源库，动态更新完善治理对策与实操经验，凝聚政企治理共识。</w:t>
      </w:r>
    </w:p>
    <w:p w14:paraId="28BF534A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8.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引导用户主动治理。</w:t>
      </w:r>
      <w:r>
        <w:rPr>
          <w:rFonts w:ascii="Times New Roman" w:eastAsia="方正仿宋_GBK" w:hAnsi="Times New Roman" w:cs="Times New Roman"/>
          <w:sz w:val="32"/>
          <w:szCs w:val="32"/>
        </w:rPr>
        <w:t>构建供电质量全维度监测体系，推动高品质用电需求用户部署电压暂降在线监测装置，开展敏感设备耐受能力测试和评估；借鉴先进技术与治理经验，引入市场化治理资源，落实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策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治理方案，引导企业安装不间断电源（</w:t>
      </w:r>
      <w:r>
        <w:rPr>
          <w:rFonts w:ascii="Times New Roman" w:eastAsia="方正仿宋_GBK" w:hAnsi="Times New Roman" w:cs="Times New Roman"/>
          <w:sz w:val="32"/>
          <w:szCs w:val="32"/>
        </w:rPr>
        <w:t>UPS</w:t>
      </w:r>
      <w:r>
        <w:rPr>
          <w:rFonts w:ascii="Times New Roman" w:eastAsia="方正仿宋_GBK" w:hAnsi="Times New Roman" w:cs="Times New Roman"/>
          <w:sz w:val="32"/>
          <w:szCs w:val="32"/>
        </w:rPr>
        <w:t>）、动态电压恢复器（</w:t>
      </w:r>
      <w:r>
        <w:rPr>
          <w:rFonts w:ascii="Times New Roman" w:eastAsia="方正仿宋_GBK" w:hAnsi="Times New Roman" w:cs="Times New Roman"/>
          <w:sz w:val="32"/>
          <w:szCs w:val="32"/>
        </w:rPr>
        <w:t>DVR</w:t>
      </w:r>
      <w:r>
        <w:rPr>
          <w:rFonts w:ascii="Times New Roman" w:eastAsia="方正仿宋_GBK" w:hAnsi="Times New Roman" w:cs="Times New Roman"/>
          <w:sz w:val="32"/>
          <w:szCs w:val="32"/>
        </w:rPr>
        <w:t>）等治理设备，合理配置欠压脱扣装置；新建高品质用电需求用户在供配电系统规划设计时，宜根据用电需求，选用耐受水平适配的用电设备，并预留治理设备加装空间。</w:t>
      </w:r>
    </w:p>
    <w:p w14:paraId="4EEB042A" w14:textId="77777777" w:rsidR="00213A0A" w:rsidRDefault="00213A0A" w:rsidP="00213A0A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（四）</w:t>
      </w:r>
      <w:bookmarkEnd w:id="10"/>
      <w:proofErr w:type="gramStart"/>
      <w:r>
        <w:rPr>
          <w:rFonts w:ascii="Times New Roman" w:eastAsia="方正仿宋_GBK" w:hAnsi="Times New Roman" w:cs="Times New Roman"/>
          <w:kern w:val="2"/>
          <w:sz w:val="32"/>
          <w:szCs w:val="32"/>
        </w:rPr>
        <w:t>深化电企共治</w:t>
      </w:r>
      <w:proofErr w:type="gramEnd"/>
      <w:r>
        <w:rPr>
          <w:rFonts w:ascii="Times New Roman" w:eastAsia="方正仿宋_GBK" w:hAnsi="Times New Roman" w:cs="Times New Roman"/>
          <w:kern w:val="2"/>
          <w:sz w:val="32"/>
          <w:szCs w:val="32"/>
        </w:rPr>
        <w:t>，提升治理质效</w:t>
      </w:r>
    </w:p>
    <w:p w14:paraId="290BA7A2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9.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做好风险源头把控。</w:t>
      </w:r>
      <w:r>
        <w:rPr>
          <w:rFonts w:ascii="Times New Roman" w:eastAsia="方正仿宋_GBK" w:hAnsi="Times New Roman" w:cs="Times New Roman"/>
          <w:sz w:val="32"/>
          <w:szCs w:val="32"/>
        </w:rPr>
        <w:t>供电企业统筹企业平稳生产和电网安全运行需要，提前明确供电质量敏感企业设备配置及生产工艺用电需求，将电能质量纳入接入方案设计和评审要素，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优化敏感用户接入方案，合理选择电源接入点和接线方式，延伸指导用户科学规划内部供配电系统设计；在供电服务各环节，主动向用户发放电压暂降风险提醒告知书，增强用户自主防治意识；将高品质供电相关服务条款纳入供用电合同，明确电网与用户责任界面。</w:t>
      </w:r>
    </w:p>
    <w:p w14:paraId="3F2ACCAA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10.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提高服务支撑能力。</w:t>
      </w:r>
      <w:r>
        <w:rPr>
          <w:rFonts w:ascii="Times New Roman" w:eastAsia="方正仿宋_GBK" w:hAnsi="Times New Roman" w:cs="Times New Roman"/>
          <w:sz w:val="32"/>
          <w:szCs w:val="32"/>
        </w:rPr>
        <w:t>供电企业针对不同类型高品质用电需求用户的用电需求，提供差异化、定制化供电服务；面向重点企业开展电能质量专项问诊服务，量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身制定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适配性治理优化方案，指导企业通过加装安全防护装置、迭代升级用电设备、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常态化运维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管护等方式，降低内部设备故障引发的用电扰动，协助企业破解各类电能质量痛点难题。</w:t>
      </w:r>
    </w:p>
    <w:p w14:paraId="67FA754A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11.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强化用户诉求处置。</w:t>
      </w:r>
      <w:r>
        <w:rPr>
          <w:rFonts w:ascii="Times New Roman" w:eastAsia="方正仿宋_GBK" w:hAnsi="Times New Roman" w:cs="Times New Roman"/>
          <w:sz w:val="32"/>
          <w:szCs w:val="32"/>
        </w:rPr>
        <w:t>供电企业要落实高品质用电需求用户专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属客户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经理制度，建立高品质用电需求用户服务评价体系，定期收集企业对电能质量的意见建议，深化供电质量诉求的闭环处置；发扬新时代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枫桥经验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，主动排查用电隐患、高效回应企业诉求，将用电供需矛盾化解在基层，持续提升企业用电体验与满意度。</w:t>
      </w:r>
    </w:p>
    <w:p w14:paraId="0E72886E" w14:textId="77777777" w:rsidR="00213A0A" w:rsidRDefault="00213A0A" w:rsidP="00213A0A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12.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创建园区示范标杆。</w:t>
      </w:r>
      <w:r>
        <w:rPr>
          <w:rFonts w:ascii="Times New Roman" w:eastAsia="方正仿宋_GBK" w:hAnsi="Times New Roman" w:cs="Times New Roman"/>
          <w:sz w:val="32"/>
          <w:szCs w:val="32"/>
        </w:rPr>
        <w:t>依托重点产业园区，打造高可靠供电、低扰动运行的电能质量标杆园区，形成可复制、可推广的治理模式，建成市级供电质量示范标杆，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引领全市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治理水平整体提升。</w:t>
      </w:r>
    </w:p>
    <w:p w14:paraId="5AE890B1" w14:textId="77777777" w:rsidR="00213A0A" w:rsidRDefault="00213A0A" w:rsidP="00213A0A">
      <w:pPr>
        <w:adjustRightInd w:val="0"/>
        <w:snapToGrid w:val="0"/>
        <w:spacing w:line="560" w:lineRule="exact"/>
        <w:ind w:firstLineChars="200" w:firstLine="640"/>
        <w:outlineLvl w:val="0"/>
        <w:rPr>
          <w:rFonts w:ascii="方正黑体_GBK" w:eastAsia="方正黑体_GBK" w:cs="Times New Roman"/>
          <w:kern w:val="2"/>
          <w:sz w:val="32"/>
          <w:szCs w:val="32"/>
        </w:rPr>
      </w:pPr>
      <w:r>
        <w:rPr>
          <w:rFonts w:ascii="方正黑体_GBK" w:eastAsia="方正黑体_GBK" w:cs="Times New Roman" w:hint="eastAsia"/>
          <w:kern w:val="2"/>
          <w:sz w:val="32"/>
          <w:szCs w:val="32"/>
        </w:rPr>
        <w:t>四、工作要求</w:t>
      </w:r>
    </w:p>
    <w:p w14:paraId="2703C100" w14:textId="64724A73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市发改委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牵头成立包括工信、供电等有关部门的工作专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班，细化工作分工、定期召开会议，研究问题、统筹推进工作落实，确保各项任务落地见效。各地要成立工作专班，加强统筹协调和调度研究，系统性谋划推进供电质量提升各项工作任务，每季度开展工作总结。各地工作专班要选取典型场景和典型用户，开展先行先试，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年年底初步打造一批供电质量治理示范点；及时开展工作成效分析，形成可操作性强、可复制性强、具有推广价值的工作经验，以点</w:t>
      </w:r>
      <w:r w:rsidR="00A10069">
        <w:rPr>
          <w:rFonts w:ascii="Times New Roman" w:eastAsia="方正仿宋_GBK" w:hAnsi="Times New Roman" w:cs="Times New Roman" w:hint="eastAsia"/>
          <w:sz w:val="32"/>
          <w:szCs w:val="32"/>
        </w:rPr>
        <w:t>带</w:t>
      </w:r>
      <w:r>
        <w:rPr>
          <w:rFonts w:ascii="Times New Roman" w:eastAsia="方正仿宋_GBK" w:hAnsi="Times New Roman" w:cs="Times New Roman"/>
          <w:sz w:val="32"/>
          <w:szCs w:val="32"/>
        </w:rPr>
        <w:t>面推动区域供电质量整体提升；加强宣传报道，营造良好工作氛围。</w:t>
      </w:r>
    </w:p>
    <w:p w14:paraId="560FE9A7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B837E8A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高品质用电需求用户技术服务指引</w:t>
      </w:r>
    </w:p>
    <w:p w14:paraId="3E9A49ED" w14:textId="77777777" w:rsidR="00213A0A" w:rsidRDefault="00213A0A" w:rsidP="00213A0A">
      <w:pPr>
        <w:adjustRightInd w:val="0"/>
        <w:snapToGrid w:val="0"/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</w:p>
    <w:p w14:paraId="4012E21D" w14:textId="77777777" w:rsidR="00213A0A" w:rsidRDefault="00213A0A" w:rsidP="00213A0A">
      <w:pPr>
        <w:pStyle w:val="a0"/>
        <w:spacing w:line="56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  <w:sectPr w:rsidR="00213A0A" w:rsidSect="00213A0A">
          <w:footerReference w:type="default" r:id="rId5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2F794449" w14:textId="77777777" w:rsidR="00213A0A" w:rsidRDefault="00213A0A" w:rsidP="00213A0A">
      <w:pPr>
        <w:spacing w:line="560" w:lineRule="exact"/>
        <w:outlineLvl w:val="0"/>
        <w:rPr>
          <w:rFonts w:ascii="方正黑体_GBK" w:eastAsia="方正黑体_GBK" w:cs="Times New Roman"/>
          <w:spacing w:val="-6"/>
          <w:sz w:val="32"/>
          <w:szCs w:val="32"/>
        </w:rPr>
      </w:pPr>
      <w:r>
        <w:rPr>
          <w:rFonts w:ascii="方正黑体_GBK" w:eastAsia="方正黑体_GBK" w:cs="Times New Roman" w:hint="eastAsia"/>
          <w:spacing w:val="-6"/>
          <w:sz w:val="32"/>
          <w:szCs w:val="32"/>
        </w:rPr>
        <w:lastRenderedPageBreak/>
        <w:t>附件1</w:t>
      </w:r>
    </w:p>
    <w:p w14:paraId="5A3D5E83" w14:textId="77777777" w:rsidR="00213A0A" w:rsidRDefault="00213A0A" w:rsidP="00213A0A">
      <w:pPr>
        <w:spacing w:line="560" w:lineRule="exact"/>
        <w:ind w:firstLineChars="200" w:firstLine="420"/>
      </w:pPr>
    </w:p>
    <w:p w14:paraId="7F5FB80E" w14:textId="77777777" w:rsidR="00213A0A" w:rsidRDefault="00213A0A" w:rsidP="00213A0A">
      <w:pPr>
        <w:spacing w:line="560" w:lineRule="exact"/>
        <w:jc w:val="center"/>
        <w:textAlignment w:val="baseline"/>
        <w:rPr>
          <w:rFonts w:ascii="方正小标宋_GBK" w:eastAsia="方正小标宋_GBK" w:cs="Times New Roman"/>
          <w:kern w:val="2"/>
          <w:sz w:val="44"/>
          <w:szCs w:val="20"/>
        </w:rPr>
      </w:pPr>
      <w:r>
        <w:rPr>
          <w:rFonts w:ascii="方正小标宋_GBK" w:eastAsia="方正小标宋_GBK" w:cs="Times New Roman" w:hint="eastAsia"/>
          <w:kern w:val="2"/>
          <w:sz w:val="44"/>
          <w:szCs w:val="20"/>
        </w:rPr>
        <w:t>高品质用电需求用户技术服务指引</w:t>
      </w:r>
    </w:p>
    <w:p w14:paraId="1624E394" w14:textId="77777777" w:rsidR="00213A0A" w:rsidRDefault="00213A0A" w:rsidP="00213A0A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14:paraId="203B6D39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11" w:name="heading_21"/>
      <w:r>
        <w:rPr>
          <w:rFonts w:ascii="Times New Roman" w:eastAsia="方正仿宋_GBK" w:hAnsi="Times New Roman" w:cs="Times New Roman"/>
          <w:sz w:val="32"/>
          <w:szCs w:val="32"/>
        </w:rPr>
        <w:t>高品质用电需求用户是指用电设备、生产工艺对电压偏差、电压波动与闪变、谐波、三相电压不平衡、电压暂降与短时中断等电能质量核心指标变化敏感度较高，电能质量异常易造成设备损毁、生产中断、产品报废、安全事故及重大经济损失的电力用户，主要涵盖芯片制造、生物医药、精密加工、新能源汽车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算力设施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制造等新兴产业以及高端纺织及轻工业、现代化工及新材料、高端电力电子制造等对电能质量有特殊刚性需求的企业。</w:t>
      </w:r>
    </w:p>
    <w:bookmarkEnd w:id="11"/>
    <w:p w14:paraId="22D9EFFC" w14:textId="77777777" w:rsidR="00213A0A" w:rsidRDefault="00213A0A" w:rsidP="00213A0A">
      <w:pPr>
        <w:spacing w:line="560" w:lineRule="exact"/>
        <w:ind w:firstLineChars="200" w:firstLine="640"/>
        <w:outlineLvl w:val="2"/>
        <w:rPr>
          <w:rFonts w:ascii="方正黑体_GBK" w:eastAsia="方正黑体_GBK" w:cs="Times New Roman"/>
          <w:kern w:val="2"/>
          <w:sz w:val="32"/>
          <w:szCs w:val="32"/>
        </w:rPr>
      </w:pPr>
      <w:r>
        <w:rPr>
          <w:rFonts w:ascii="方正黑体_GBK" w:eastAsia="方正黑体_GBK" w:cs="Times New Roman" w:hint="eastAsia"/>
          <w:kern w:val="2"/>
          <w:sz w:val="32"/>
          <w:szCs w:val="32"/>
        </w:rPr>
        <w:t>一、治理责任</w:t>
      </w:r>
    </w:p>
    <w:p w14:paraId="1DD86CF1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电能质量管理办法（暂行）》规定：对电能质量有特殊要求的用户在接入电力系统时，应当自行开展电能质量需求分析，采用耐受水平与电能质量需求相匹配的用电设备，以及配置合适的电能质量控制设备，确保电能质量满足自身需求。鼓励各方为对电能质量有特殊要求的用户提供有偿增值服务。</w:t>
      </w:r>
    </w:p>
    <w:p w14:paraId="12D81D97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从国内标准看，《高电能质量需求用户接入电网技术要求》（</w:t>
      </w:r>
      <w:r>
        <w:rPr>
          <w:rFonts w:ascii="Times New Roman" w:eastAsia="方正仿宋_GBK" w:hAnsi="Times New Roman" w:cs="Times New Roman"/>
          <w:sz w:val="32"/>
          <w:szCs w:val="32"/>
        </w:rPr>
        <w:t>GB/T 44137-2024</w:t>
      </w:r>
      <w:r>
        <w:rPr>
          <w:rFonts w:ascii="Times New Roman" w:eastAsia="方正仿宋_GBK" w:hAnsi="Times New Roman" w:cs="Times New Roman"/>
          <w:sz w:val="32"/>
          <w:szCs w:val="32"/>
        </w:rPr>
        <w:t>）明确高电能质量需求用户应根据分类管理原则，选取合适的电能质量治理设备，减少电能质量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问题造成的影响。</w:t>
      </w:r>
    </w:p>
    <w:p w14:paraId="07F3DAA3" w14:textId="77777777" w:rsidR="00213A0A" w:rsidRDefault="00213A0A" w:rsidP="00213A0A">
      <w:pPr>
        <w:spacing w:line="560" w:lineRule="exact"/>
        <w:ind w:firstLineChars="200" w:firstLine="640"/>
        <w:outlineLvl w:val="2"/>
        <w:rPr>
          <w:rFonts w:ascii="方正黑体_GBK" w:eastAsia="方正黑体_GBK" w:cs="Times New Roman"/>
          <w:kern w:val="2"/>
          <w:sz w:val="32"/>
          <w:szCs w:val="32"/>
        </w:rPr>
      </w:pPr>
      <w:r>
        <w:rPr>
          <w:rFonts w:ascii="方正黑体_GBK" w:eastAsia="方正黑体_GBK" w:cs="Times New Roman" w:hint="eastAsia"/>
          <w:kern w:val="2"/>
          <w:sz w:val="32"/>
          <w:szCs w:val="32"/>
        </w:rPr>
        <w:t>二、防控措施</w:t>
      </w:r>
    </w:p>
    <w:p w14:paraId="31175C35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用户内部管理方面：建议用户完善内部监测体系，在并网点及关键核心负荷端，配置符合国家现行标准的电能质量在线监测装置，监测范围全面覆盖电压偏差、谐波、电压暂降等核心指标，建立企业内部电能质量数据库，为治理决策提供依据。</w:t>
      </w:r>
    </w:p>
    <w:p w14:paraId="6839318C" w14:textId="77777777" w:rsidR="00213A0A" w:rsidRDefault="00213A0A" w:rsidP="00213A0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防护设备配置方面：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用户侧需建立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科学的分级防护体系，根据设备关键性和电压敏感度实施差异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化治理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策略，具体见表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752EAEF5" w14:textId="77777777" w:rsidR="00213A0A" w:rsidRDefault="00213A0A" w:rsidP="00213A0A">
      <w:pPr>
        <w:spacing w:line="56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表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1 </w:t>
      </w:r>
      <w:r>
        <w:rPr>
          <w:rFonts w:ascii="Times New Roman" w:eastAsia="方正仿宋_GBK" w:hAnsi="Times New Roman" w:cs="Times New Roman"/>
          <w:sz w:val="28"/>
          <w:szCs w:val="28"/>
        </w:rPr>
        <w:t>不同用电场景下电能质量治理设备配置建议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666"/>
        <w:gridCol w:w="1478"/>
        <w:gridCol w:w="2286"/>
        <w:gridCol w:w="1986"/>
      </w:tblGrid>
      <w:tr w:rsidR="00213A0A" w14:paraId="46BB00E6" w14:textId="77777777" w:rsidTr="00291D6F">
        <w:trPr>
          <w:jc w:val="center"/>
        </w:trPr>
        <w:tc>
          <w:tcPr>
            <w:tcW w:w="1387" w:type="dxa"/>
            <w:vAlign w:val="center"/>
          </w:tcPr>
          <w:p w14:paraId="1AFAEAD0" w14:textId="77777777" w:rsidR="00213A0A" w:rsidRDefault="00213A0A" w:rsidP="00291D6F">
            <w:pPr>
              <w:spacing w:line="56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sz w:val="24"/>
                <w:szCs w:val="24"/>
              </w:rPr>
              <w:t>设备名称</w:t>
            </w:r>
          </w:p>
        </w:tc>
        <w:tc>
          <w:tcPr>
            <w:tcW w:w="1666" w:type="dxa"/>
            <w:vAlign w:val="center"/>
          </w:tcPr>
          <w:p w14:paraId="270EE024" w14:textId="77777777" w:rsidR="00213A0A" w:rsidRDefault="00213A0A" w:rsidP="00291D6F">
            <w:pPr>
              <w:spacing w:line="56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sz w:val="24"/>
                <w:szCs w:val="24"/>
              </w:rPr>
              <w:t>适用场景</w:t>
            </w:r>
          </w:p>
        </w:tc>
        <w:tc>
          <w:tcPr>
            <w:tcW w:w="1478" w:type="dxa"/>
            <w:vAlign w:val="center"/>
          </w:tcPr>
          <w:p w14:paraId="00B98FDC" w14:textId="77777777" w:rsidR="00213A0A" w:rsidRDefault="00213A0A" w:rsidP="00291D6F">
            <w:pPr>
              <w:spacing w:line="56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sz w:val="24"/>
                <w:szCs w:val="24"/>
              </w:rPr>
              <w:t>电压等级</w:t>
            </w:r>
          </w:p>
        </w:tc>
        <w:tc>
          <w:tcPr>
            <w:tcW w:w="2286" w:type="dxa"/>
            <w:vAlign w:val="center"/>
          </w:tcPr>
          <w:p w14:paraId="69D0A909" w14:textId="77777777" w:rsidR="00213A0A" w:rsidRDefault="00213A0A" w:rsidP="00291D6F">
            <w:pPr>
              <w:spacing w:line="56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sz w:val="24"/>
                <w:szCs w:val="24"/>
              </w:rPr>
              <w:t>局限性</w:t>
            </w:r>
          </w:p>
        </w:tc>
        <w:tc>
          <w:tcPr>
            <w:tcW w:w="1986" w:type="dxa"/>
            <w:vAlign w:val="center"/>
          </w:tcPr>
          <w:p w14:paraId="04F1AE5E" w14:textId="77777777" w:rsidR="00213A0A" w:rsidRDefault="00213A0A" w:rsidP="00291D6F">
            <w:pPr>
              <w:spacing w:line="56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sz w:val="24"/>
                <w:szCs w:val="24"/>
              </w:rPr>
              <w:t>适用设备</w:t>
            </w:r>
          </w:p>
        </w:tc>
      </w:tr>
      <w:tr w:rsidR="00213A0A" w14:paraId="7E48C17E" w14:textId="77777777" w:rsidTr="00291D6F">
        <w:trPr>
          <w:jc w:val="center"/>
        </w:trPr>
        <w:tc>
          <w:tcPr>
            <w:tcW w:w="1387" w:type="dxa"/>
            <w:vAlign w:val="center"/>
          </w:tcPr>
          <w:p w14:paraId="0F1E4C9A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bookmarkStart w:id="12" w:name="_Hlk232326985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不间断电源（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UPS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6" w:type="dxa"/>
            <w:vAlign w:val="center"/>
          </w:tcPr>
          <w:p w14:paraId="186D69A5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短时中断敏感系统，如环境控制、数据中心</w:t>
            </w:r>
          </w:p>
        </w:tc>
        <w:tc>
          <w:tcPr>
            <w:tcW w:w="1478" w:type="dxa"/>
            <w:vAlign w:val="center"/>
          </w:tcPr>
          <w:p w14:paraId="387A8D2C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0.4kV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（低压直流支撑为主）</w:t>
            </w:r>
          </w:p>
        </w:tc>
        <w:tc>
          <w:tcPr>
            <w:tcW w:w="2286" w:type="dxa"/>
            <w:vAlign w:val="center"/>
          </w:tcPr>
          <w:p w14:paraId="5086AD98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电池寿命仅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3-5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年；大功率应用散热难；输出波形畸变（</w:t>
            </w: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THDi</w:t>
            </w:r>
            <w:proofErr w:type="spell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＞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3%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）影响精密设备</w:t>
            </w:r>
          </w:p>
        </w:tc>
        <w:tc>
          <w:tcPr>
            <w:tcW w:w="1986" w:type="dxa"/>
            <w:vAlign w:val="center"/>
          </w:tcPr>
          <w:p w14:paraId="59BE8D8A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洁净室空调系统、纯净水装置、服务器集群、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PLC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控制系统等</w:t>
            </w:r>
          </w:p>
        </w:tc>
      </w:tr>
      <w:tr w:rsidR="00213A0A" w14:paraId="2F4A28E2" w14:textId="77777777" w:rsidTr="00291D6F">
        <w:trPr>
          <w:jc w:val="center"/>
        </w:trPr>
        <w:tc>
          <w:tcPr>
            <w:tcW w:w="1387" w:type="dxa"/>
            <w:vAlign w:val="center"/>
          </w:tcPr>
          <w:p w14:paraId="48340139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动态电压恢复器（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DVR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6" w:type="dxa"/>
            <w:vAlign w:val="center"/>
          </w:tcPr>
          <w:p w14:paraId="0E1FCAB1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单电源敏感工艺，如刻蚀、薄膜沉积</w:t>
            </w:r>
          </w:p>
        </w:tc>
        <w:tc>
          <w:tcPr>
            <w:tcW w:w="1478" w:type="dxa"/>
            <w:vAlign w:val="center"/>
          </w:tcPr>
          <w:p w14:paraId="74AF99C0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0.4kV-10kV</w:t>
            </w:r>
          </w:p>
        </w:tc>
        <w:tc>
          <w:tcPr>
            <w:tcW w:w="2286" w:type="dxa"/>
            <w:vAlign w:val="center"/>
          </w:tcPr>
          <w:p w14:paraId="0FAA5676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储能容量有限（通常＜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）；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深度暂降时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补偿能力骤降；高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频次暂降加速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器件老化</w:t>
            </w:r>
          </w:p>
        </w:tc>
        <w:tc>
          <w:tcPr>
            <w:tcW w:w="1986" w:type="dxa"/>
            <w:vAlign w:val="center"/>
          </w:tcPr>
          <w:p w14:paraId="14C39C26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等离子刻蚀机、化学气相沉积设备、抛光机等</w:t>
            </w:r>
          </w:p>
        </w:tc>
      </w:tr>
      <w:bookmarkEnd w:id="12"/>
      <w:tr w:rsidR="00213A0A" w14:paraId="4509A8EE" w14:textId="77777777" w:rsidTr="00291D6F">
        <w:trPr>
          <w:jc w:val="center"/>
        </w:trPr>
        <w:tc>
          <w:tcPr>
            <w:tcW w:w="1387" w:type="dxa"/>
            <w:vAlign w:val="center"/>
          </w:tcPr>
          <w:p w14:paraId="4B0F4017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固态切换开关（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SSTS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6" w:type="dxa"/>
            <w:vAlign w:val="center"/>
          </w:tcPr>
          <w:p w14:paraId="231A91F7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双电源供电的晶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圆制造产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线、数据中心核心负荷</w:t>
            </w:r>
          </w:p>
        </w:tc>
        <w:tc>
          <w:tcPr>
            <w:tcW w:w="1478" w:type="dxa"/>
            <w:vAlign w:val="center"/>
          </w:tcPr>
          <w:p w14:paraId="4D5E81E1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0.4kV-35kV</w:t>
            </w:r>
          </w:p>
        </w:tc>
        <w:tc>
          <w:tcPr>
            <w:tcW w:w="2286" w:type="dxa"/>
            <w:vAlign w:val="center"/>
          </w:tcPr>
          <w:p w14:paraId="3DA963B7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切换过程可能引起谐波；高电压等级（＞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35kV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）应用难度大</w:t>
            </w:r>
          </w:p>
        </w:tc>
        <w:tc>
          <w:tcPr>
            <w:tcW w:w="1986" w:type="dxa"/>
            <w:vAlign w:val="center"/>
          </w:tcPr>
          <w:p w14:paraId="26632831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光刻机集群、离子注入机、自动测试设备等</w:t>
            </w:r>
          </w:p>
        </w:tc>
      </w:tr>
      <w:tr w:rsidR="00213A0A" w14:paraId="3BBC06D1" w14:textId="77777777" w:rsidTr="00291D6F">
        <w:trPr>
          <w:jc w:val="center"/>
        </w:trPr>
        <w:tc>
          <w:tcPr>
            <w:tcW w:w="1387" w:type="dxa"/>
            <w:vAlign w:val="center"/>
          </w:tcPr>
          <w:p w14:paraId="1EA29718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直流支撑系统（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DC-BANK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6" w:type="dxa"/>
            <w:vAlign w:val="center"/>
          </w:tcPr>
          <w:p w14:paraId="5E8B2505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变频驱动类负荷，如风机、泵机、传送带</w:t>
            </w:r>
          </w:p>
        </w:tc>
        <w:tc>
          <w:tcPr>
            <w:tcW w:w="1478" w:type="dxa"/>
            <w:vAlign w:val="center"/>
          </w:tcPr>
          <w:p w14:paraId="1B181E97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直流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600V-1500V</w:t>
            </w:r>
          </w:p>
        </w:tc>
        <w:tc>
          <w:tcPr>
            <w:tcW w:w="2286" w:type="dxa"/>
            <w:vAlign w:val="center"/>
          </w:tcPr>
          <w:p w14:paraId="075A3E4E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仅适用于直流母线设备；支撑时间短（＜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1s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）；无法治理电压谐波</w:t>
            </w:r>
          </w:p>
        </w:tc>
        <w:tc>
          <w:tcPr>
            <w:tcW w:w="1986" w:type="dxa"/>
            <w:vAlign w:val="center"/>
          </w:tcPr>
          <w:p w14:paraId="2C14F9B3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冷却水循环泵、真空泵、物料传输系统等</w:t>
            </w:r>
          </w:p>
        </w:tc>
      </w:tr>
      <w:tr w:rsidR="00213A0A" w14:paraId="4CC9BF2A" w14:textId="77777777" w:rsidTr="00291D6F">
        <w:trPr>
          <w:jc w:val="center"/>
        </w:trPr>
        <w:tc>
          <w:tcPr>
            <w:tcW w:w="1387" w:type="dxa"/>
            <w:vAlign w:val="center"/>
          </w:tcPr>
          <w:p w14:paraId="375E6202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统一电能质量调节器（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UPQC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6" w:type="dxa"/>
            <w:vAlign w:val="center"/>
          </w:tcPr>
          <w:p w14:paraId="3AE2B7A6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电能质量负荷污染区域，如电弧炉邻近的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封测厂</w:t>
            </w:r>
            <w:proofErr w:type="gramEnd"/>
          </w:p>
        </w:tc>
        <w:tc>
          <w:tcPr>
            <w:tcW w:w="1478" w:type="dxa"/>
            <w:vAlign w:val="center"/>
          </w:tcPr>
          <w:p w14:paraId="26AC3BBD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0.4kV-10kV</w:t>
            </w:r>
          </w:p>
        </w:tc>
        <w:tc>
          <w:tcPr>
            <w:tcW w:w="2286" w:type="dxa"/>
            <w:vAlign w:val="center"/>
          </w:tcPr>
          <w:p w14:paraId="387C92BC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成本为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DVR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的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倍；控制复杂度高；大容量应用（＞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5MVA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）效率下降明显</w:t>
            </w:r>
          </w:p>
        </w:tc>
        <w:tc>
          <w:tcPr>
            <w:tcW w:w="1986" w:type="dxa"/>
            <w:vAlign w:val="center"/>
          </w:tcPr>
          <w:p w14:paraId="1E15FE4E" w14:textId="77777777" w:rsidR="00213A0A" w:rsidRDefault="00213A0A" w:rsidP="00291D6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精密贴片机、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晶圆级封装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设备、高精度光伏检测仪等</w:t>
            </w:r>
          </w:p>
        </w:tc>
      </w:tr>
    </w:tbl>
    <w:p w14:paraId="72B79D60" w14:textId="77777777" w:rsidR="00213A0A" w:rsidRDefault="00213A0A" w:rsidP="00213A0A">
      <w:pPr>
        <w:pStyle w:val="a0"/>
        <w:spacing w:line="560" w:lineRule="exact"/>
        <w:ind w:firstLine="420"/>
        <w:rPr>
          <w:rFonts w:ascii="Times New Roman" w:eastAsia="方正仿宋_GBK" w:hAnsi="Times New Roman" w:cs="Times New Roman"/>
        </w:rPr>
      </w:pPr>
    </w:p>
    <w:p w14:paraId="091D5407" w14:textId="77777777" w:rsidR="00213A0A" w:rsidRDefault="00213A0A" w:rsidP="00213A0A">
      <w:pPr>
        <w:pStyle w:val="a0"/>
        <w:spacing w:line="56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</w:p>
    <w:p w14:paraId="269F05F3" w14:textId="77777777" w:rsidR="00B52899" w:rsidRPr="00213A0A" w:rsidRDefault="00B52899">
      <w:pPr>
        <w:rPr>
          <w:rFonts w:hint="eastAsia"/>
        </w:rPr>
      </w:pPr>
    </w:p>
    <w:sectPr w:rsidR="00B52899" w:rsidRPr="00213A0A" w:rsidSect="00213A0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3AAF" w14:textId="77777777" w:rsidR="00000000" w:rsidRDefault="00000000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A5D2A" wp14:editId="37F4D4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3680" cy="19177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629" cy="1917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52D569A" w14:textId="77777777" w:rsidR="00000000" w:rsidRDefault="0000000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A5D2A" id="文本框 3" o:spid="_x0000_s1026" style="position:absolute;margin-left:-32.8pt;margin-top:0;width:18.4pt;height:15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" filled="f" stroked="f">
              <v:stroke joinstyle="round"/>
              <v:textbox style="mso-fit-shape-to-text:t" inset="0,0,0,0">
                <w:txbxContent>
                  <w:p w14:paraId="452D569A" w14:textId="77777777" w:rsidR="00000000" w:rsidRDefault="00000000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D655" w14:textId="77777777" w:rsidR="0000000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10EFC" wp14:editId="58D8AF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3680" cy="19177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629" cy="1917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682333E" w14:textId="77777777" w:rsidR="00000000" w:rsidRDefault="0000000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10EFC" id="文本框 2" o:spid="_x0000_s1027" style="position:absolute;left:0;text-align:left;margin-left:-32.8pt;margin-top:0;width:18.4pt;height:15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" filled="f" stroked="f">
              <v:stroke joinstyle="round"/>
              <v:textbox style="mso-fit-shape-to-text:t" inset="0,0,0,0">
                <w:txbxContent>
                  <w:p w14:paraId="4682333E" w14:textId="77777777" w:rsidR="00000000" w:rsidRDefault="00000000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A45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F130"/>
    <w:multiLevelType w:val="singleLevel"/>
    <w:tmpl w:val="5E41F130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 w16cid:durableId="128792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A"/>
    <w:rsid w:val="00144FA2"/>
    <w:rsid w:val="00213A0A"/>
    <w:rsid w:val="00A10069"/>
    <w:rsid w:val="00B52899"/>
    <w:rsid w:val="00C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9D38"/>
  <w15:chartTrackingRefBased/>
  <w15:docId w15:val="{E0F8889E-D04F-4AE1-AF4D-3E045291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13A0A"/>
    <w:pPr>
      <w:widowControl w:val="0"/>
      <w:jc w:val="both"/>
    </w:pPr>
    <w:rPr>
      <w:rFonts w:ascii="Calibri" w:eastAsia="宋体" w:hAnsi="Calibri" w:cs="Arial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A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A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13A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13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13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13A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13A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13A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13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13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13A0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13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1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13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13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1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13A0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13A0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13A0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13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13A0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213A0A"/>
    <w:rPr>
      <w:b/>
      <w:bCs/>
      <w:smallCaps/>
      <w:color w:val="0F4761" w:themeColor="accent1" w:themeShade="BF"/>
      <w:spacing w:val="5"/>
    </w:rPr>
  </w:style>
  <w:style w:type="paragraph" w:styleId="a0">
    <w:name w:val="Normal Indent"/>
    <w:basedOn w:val="a"/>
    <w:next w:val="a"/>
    <w:qFormat/>
    <w:rsid w:val="00213A0A"/>
    <w:pPr>
      <w:ind w:firstLineChars="200" w:firstLine="200"/>
    </w:pPr>
  </w:style>
  <w:style w:type="paragraph" w:styleId="af">
    <w:name w:val="footer"/>
    <w:basedOn w:val="a"/>
    <w:link w:val="af0"/>
    <w:qFormat/>
    <w:rsid w:val="00213A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213A0A"/>
    <w:rPr>
      <w:rFonts w:ascii="Calibri" w:eastAsia="宋体" w:hAnsi="Calibri" w:cs="Arial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前尧 漆</dc:creator>
  <cp:keywords/>
  <dc:description/>
  <cp:lastModifiedBy>前尧 漆</cp:lastModifiedBy>
  <cp:revision>2</cp:revision>
  <dcterms:created xsi:type="dcterms:W3CDTF">2026-06-16T09:20:00Z</dcterms:created>
  <dcterms:modified xsi:type="dcterms:W3CDTF">2026-06-16T09:25:00Z</dcterms:modified>
</cp:coreProperties>
</file>